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B30B7" w14:textId="711C54D6" w:rsidR="003B44BB" w:rsidRPr="00E310CA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E310CA">
        <w:rPr>
          <w:rFonts w:cs="Arial"/>
          <w:bCs/>
          <w:sz w:val="24"/>
          <w:szCs w:val="24"/>
        </w:rPr>
        <w:t>3GPP TSG RAN WG1 Meeting #</w:t>
      </w:r>
      <w:r w:rsidR="00A860F9" w:rsidRPr="00E310CA">
        <w:rPr>
          <w:rFonts w:eastAsia="MS Mincho" w:cs="Arial"/>
          <w:bCs/>
          <w:sz w:val="24"/>
          <w:szCs w:val="24"/>
          <w:lang w:eastAsia="ja-JP"/>
        </w:rPr>
        <w:t>86</w:t>
      </w:r>
      <w:r w:rsidR="004C4E1F" w:rsidRPr="00E310CA">
        <w:rPr>
          <w:rFonts w:eastAsia="MS Mincho" w:cs="Arial"/>
          <w:bCs/>
          <w:sz w:val="24"/>
          <w:szCs w:val="24"/>
          <w:lang w:eastAsia="ja-JP"/>
        </w:rPr>
        <w:t>bis</w:t>
      </w:r>
      <w:r w:rsidRPr="00E310CA">
        <w:rPr>
          <w:rFonts w:eastAsia="MS Mincho" w:cs="Arial"/>
          <w:bCs/>
          <w:sz w:val="24"/>
          <w:szCs w:val="24"/>
          <w:lang w:eastAsia="ja-JP"/>
        </w:rPr>
        <w:tab/>
      </w:r>
      <w:r w:rsidRPr="00E310CA">
        <w:rPr>
          <w:rFonts w:eastAsia="MS Mincho" w:cs="Arial"/>
          <w:bCs/>
          <w:sz w:val="24"/>
          <w:szCs w:val="24"/>
          <w:lang w:eastAsia="ja-JP"/>
        </w:rPr>
        <w:tab/>
      </w:r>
      <w:r w:rsidR="00B1069C" w:rsidRPr="00E310CA">
        <w:rPr>
          <w:rFonts w:cs="Arial"/>
          <w:bCs/>
          <w:sz w:val="24"/>
          <w:szCs w:val="24"/>
        </w:rPr>
        <w:t>R1-</w:t>
      </w:r>
      <w:r w:rsidR="00E310CA" w:rsidRPr="00E310CA">
        <w:rPr>
          <w:rFonts w:cs="Arial"/>
          <w:bCs/>
          <w:sz w:val="24"/>
          <w:szCs w:val="24"/>
        </w:rPr>
        <w:t>1609707</w:t>
      </w:r>
    </w:p>
    <w:p w14:paraId="5F28D20B" w14:textId="77777777" w:rsidR="003B44BB" w:rsidRPr="00E310CA" w:rsidRDefault="004C4E1F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E310CA">
        <w:rPr>
          <w:rFonts w:eastAsia="MS Mincho" w:cs="Arial"/>
          <w:bCs/>
          <w:sz w:val="24"/>
          <w:szCs w:val="24"/>
          <w:lang w:val="en-US" w:eastAsia="ja-JP"/>
        </w:rPr>
        <w:t>Lisboa</w:t>
      </w:r>
      <w:r w:rsidR="003B44BB" w:rsidRPr="00E310CA">
        <w:rPr>
          <w:rFonts w:eastAsia="MS Mincho" w:cs="Arial"/>
          <w:bCs/>
          <w:sz w:val="24"/>
          <w:szCs w:val="24"/>
          <w:lang w:val="en-US" w:eastAsia="ja-JP"/>
        </w:rPr>
        <w:t>,</w:t>
      </w:r>
      <w:r w:rsidRPr="00E310CA">
        <w:rPr>
          <w:rFonts w:eastAsia="MS Mincho" w:cs="Arial"/>
          <w:bCs/>
          <w:sz w:val="24"/>
          <w:szCs w:val="24"/>
          <w:lang w:val="en-US" w:eastAsia="ja-JP"/>
        </w:rPr>
        <w:t xml:space="preserve"> Portugal,</w:t>
      </w:r>
      <w:r w:rsidR="003B44BB" w:rsidRPr="00E310CA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Pr="00E310CA">
        <w:rPr>
          <w:rFonts w:eastAsia="MS Mincho" w:cs="Arial"/>
          <w:bCs/>
          <w:sz w:val="24"/>
          <w:szCs w:val="24"/>
          <w:lang w:val="en-US" w:eastAsia="ja-JP"/>
        </w:rPr>
        <w:t>10</w:t>
      </w:r>
      <w:r w:rsidRPr="00E310CA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E310CA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B44BB" w:rsidRPr="00E310CA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E310CA">
        <w:rPr>
          <w:rFonts w:eastAsia="MS Mincho" w:cs="Arial"/>
          <w:bCs/>
          <w:sz w:val="24"/>
          <w:szCs w:val="24"/>
          <w:lang w:val="en-US" w:eastAsia="ja-JP"/>
        </w:rPr>
        <w:t>14</w:t>
      </w:r>
      <w:r w:rsidRPr="00E310CA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E310CA">
        <w:rPr>
          <w:rFonts w:eastAsia="MS Mincho" w:cs="Arial"/>
          <w:bCs/>
          <w:sz w:val="24"/>
          <w:szCs w:val="24"/>
          <w:lang w:val="en-US" w:eastAsia="ja-JP"/>
        </w:rPr>
        <w:t xml:space="preserve"> October </w:t>
      </w:r>
      <w:r w:rsidR="003B44BB" w:rsidRPr="00E310CA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="008F4B7E" w:rsidRPr="00E310CA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14:paraId="3C0EC99C" w14:textId="77777777" w:rsidR="00005DBD" w:rsidRPr="00E310CA" w:rsidRDefault="00005DBD" w:rsidP="00005DBD">
      <w:pPr>
        <w:pStyle w:val="FootnoteText"/>
        <w:rPr>
          <w:lang w:val="en-US"/>
        </w:rPr>
      </w:pPr>
    </w:p>
    <w:p w14:paraId="1E5948CE" w14:textId="77777777" w:rsidR="00005DBD" w:rsidRPr="00E310CA" w:rsidRDefault="00005DBD" w:rsidP="00005DBD">
      <w:pPr>
        <w:pStyle w:val="TdocHeader2"/>
        <w:jc w:val="left"/>
        <w:rPr>
          <w:sz w:val="20"/>
          <w:lang w:val="en-US"/>
        </w:rPr>
      </w:pPr>
      <w:r w:rsidRPr="00E310CA">
        <w:rPr>
          <w:sz w:val="20"/>
          <w:lang w:val="en-US"/>
        </w:rPr>
        <w:t xml:space="preserve">Source: </w:t>
      </w:r>
      <w:r w:rsidRPr="00E310CA">
        <w:rPr>
          <w:sz w:val="20"/>
          <w:lang w:val="en-US"/>
        </w:rPr>
        <w:tab/>
        <w:t>Ericsson</w:t>
      </w:r>
    </w:p>
    <w:p w14:paraId="624AC639" w14:textId="77777777" w:rsidR="00005DBD" w:rsidRPr="00E310CA" w:rsidRDefault="00005DBD" w:rsidP="00005DBD">
      <w:pPr>
        <w:pStyle w:val="TdocHeader2"/>
        <w:jc w:val="left"/>
        <w:rPr>
          <w:sz w:val="20"/>
          <w:lang w:val="en-US"/>
        </w:rPr>
      </w:pPr>
      <w:r w:rsidRPr="00E310CA">
        <w:rPr>
          <w:sz w:val="20"/>
          <w:lang w:val="en-US"/>
        </w:rPr>
        <w:t>Title:</w:t>
      </w:r>
      <w:bookmarkStart w:id="2" w:name="Title"/>
      <w:bookmarkEnd w:id="2"/>
      <w:r w:rsidRPr="00E310CA">
        <w:rPr>
          <w:sz w:val="20"/>
          <w:lang w:val="en-US"/>
        </w:rPr>
        <w:tab/>
      </w:r>
      <w:r w:rsidR="0056185F" w:rsidRPr="00E310CA">
        <w:rPr>
          <w:sz w:val="20"/>
          <w:lang w:val="en-US"/>
        </w:rPr>
        <w:t>Autonomous Resource allocation for multiple retransmissions</w:t>
      </w:r>
    </w:p>
    <w:p w14:paraId="69A36C2B" w14:textId="66EF7B31" w:rsidR="00005DBD" w:rsidRPr="00E310CA" w:rsidRDefault="00005DBD" w:rsidP="00005DBD">
      <w:pPr>
        <w:pStyle w:val="TdocHeader2"/>
        <w:jc w:val="left"/>
        <w:rPr>
          <w:sz w:val="20"/>
          <w:lang w:val="en-US"/>
        </w:rPr>
      </w:pPr>
      <w:r w:rsidRPr="00E310CA">
        <w:rPr>
          <w:sz w:val="20"/>
          <w:lang w:val="en-US"/>
        </w:rPr>
        <w:t>Agenda Item:</w:t>
      </w:r>
      <w:r w:rsidRPr="00E310CA">
        <w:rPr>
          <w:sz w:val="20"/>
          <w:lang w:val="en-US"/>
        </w:rPr>
        <w:tab/>
      </w:r>
      <w:r w:rsidR="00E310CA" w:rsidRPr="00E310CA">
        <w:rPr>
          <w:rFonts w:cs="Arial"/>
          <w:color w:val="312E25"/>
          <w:sz w:val="20"/>
          <w:szCs w:val="18"/>
          <w:lang w:eastAsia="sv-SE"/>
        </w:rPr>
        <w:t>7.2.1.5.1</w:t>
      </w:r>
    </w:p>
    <w:p w14:paraId="3D79AA4D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E310CA">
        <w:rPr>
          <w:sz w:val="20"/>
          <w:lang w:val="en-US"/>
        </w:rPr>
        <w:t>Document for:</w:t>
      </w:r>
      <w:r w:rsidRPr="00E310CA">
        <w:rPr>
          <w:sz w:val="20"/>
          <w:lang w:val="en-US"/>
        </w:rPr>
        <w:tab/>
        <w:t>Discussion and Decision</w:t>
      </w:r>
    </w:p>
    <w:p w14:paraId="7F872F66" w14:textId="77777777" w:rsidR="0078373C" w:rsidRPr="004306F8" w:rsidRDefault="00D77223" w:rsidP="004306F8">
      <w:pPr>
        <w:pStyle w:val="Heading1"/>
      </w:pPr>
      <w:bookmarkStart w:id="3" w:name="_Ref446688366"/>
      <w:bookmarkEnd w:id="0"/>
      <w:bookmarkEnd w:id="1"/>
      <w:r w:rsidRPr="007F1723">
        <w:t>Introduction</w:t>
      </w:r>
      <w:bookmarkEnd w:id="3"/>
    </w:p>
    <w:p w14:paraId="00325DAF" w14:textId="77777777" w:rsidR="006924FD" w:rsidRPr="00EE00BD" w:rsidRDefault="00357232">
      <w:pPr>
        <w:pStyle w:val="BodyText"/>
        <w:spacing w:after="240"/>
        <w:jc w:val="both"/>
        <w:rPr>
          <w:rFonts w:asciiTheme="minorHAnsi" w:hAnsiTheme="minorHAnsi" w:cstheme="minorHAnsi"/>
          <w:lang w:eastAsia="zh-CN"/>
        </w:rPr>
      </w:pPr>
      <w:r w:rsidRPr="00EE00BD">
        <w:rPr>
          <w:rFonts w:asciiTheme="minorHAnsi" w:hAnsiTheme="minorHAnsi" w:cstheme="minorHAnsi"/>
          <w:spacing w:val="2"/>
          <w:sz w:val="20"/>
          <w:szCs w:val="20"/>
        </w:rPr>
        <w:t>During RAN1#</w:t>
      </w:r>
      <w:r w:rsidR="00D31A62" w:rsidRPr="00EE00BD">
        <w:rPr>
          <w:rFonts w:asciiTheme="minorHAnsi" w:hAnsiTheme="minorHAnsi" w:cstheme="minorHAnsi"/>
          <w:spacing w:val="2"/>
          <w:sz w:val="20"/>
          <w:szCs w:val="20"/>
        </w:rPr>
        <w:t>86</w:t>
      </w:r>
      <w:r w:rsidRPr="00EE00BD">
        <w:rPr>
          <w:rFonts w:asciiTheme="minorHAnsi" w:hAnsiTheme="minorHAnsi" w:cstheme="minorHAnsi"/>
          <w:spacing w:val="2"/>
          <w:sz w:val="20"/>
          <w:szCs w:val="20"/>
        </w:rPr>
        <w:t>, the following was agreed</w:t>
      </w:r>
      <w:r w:rsidR="00BB5340" w:rsidRPr="00EE00BD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="003C14EE" w:rsidRPr="00EE00BD">
        <w:rPr>
          <w:rFonts w:asciiTheme="minorHAnsi" w:hAnsiTheme="minorHAnsi" w:cstheme="minorHAnsi"/>
          <w:spacing w:val="2"/>
          <w:sz w:val="20"/>
          <w:szCs w:val="20"/>
        </w:rPr>
        <w:fldChar w:fldCharType="begin"/>
      </w:r>
      <w:r w:rsidR="003C14EE" w:rsidRPr="00EE00BD">
        <w:rPr>
          <w:rFonts w:asciiTheme="minorHAnsi" w:hAnsiTheme="minorHAnsi" w:cstheme="minorHAnsi"/>
          <w:spacing w:val="2"/>
          <w:sz w:val="20"/>
          <w:szCs w:val="20"/>
        </w:rPr>
        <w:instrText xml:space="preserve"> REF _Ref458436874 \r \h </w:instrText>
      </w:r>
      <w:r w:rsidR="001C75E2">
        <w:rPr>
          <w:rFonts w:asciiTheme="minorHAnsi" w:hAnsiTheme="minorHAnsi" w:cstheme="minorHAnsi"/>
          <w:spacing w:val="2"/>
          <w:sz w:val="20"/>
          <w:szCs w:val="20"/>
        </w:rPr>
        <w:instrText xml:space="preserve"> \* MERGEFORMAT </w:instrText>
      </w:r>
      <w:r w:rsidR="003C14EE" w:rsidRPr="00EE00BD">
        <w:rPr>
          <w:rFonts w:asciiTheme="minorHAnsi" w:hAnsiTheme="minorHAnsi" w:cstheme="minorHAnsi"/>
          <w:spacing w:val="2"/>
          <w:sz w:val="20"/>
          <w:szCs w:val="20"/>
        </w:rPr>
      </w:r>
      <w:r w:rsidR="003C14EE" w:rsidRPr="00EE00BD">
        <w:rPr>
          <w:rFonts w:asciiTheme="minorHAnsi" w:hAnsiTheme="minorHAnsi" w:cstheme="minorHAnsi"/>
          <w:spacing w:val="2"/>
          <w:sz w:val="20"/>
          <w:szCs w:val="20"/>
        </w:rPr>
        <w:fldChar w:fldCharType="separate"/>
      </w:r>
      <w:r w:rsidR="003C14EE" w:rsidRPr="00EE00BD">
        <w:rPr>
          <w:rFonts w:asciiTheme="minorHAnsi" w:hAnsiTheme="minorHAnsi" w:cstheme="minorHAnsi"/>
          <w:spacing w:val="2"/>
          <w:sz w:val="20"/>
          <w:szCs w:val="20"/>
        </w:rPr>
        <w:t>[1]</w:t>
      </w:r>
      <w:r w:rsidR="003C14EE" w:rsidRPr="00EE00BD">
        <w:rPr>
          <w:rFonts w:asciiTheme="minorHAnsi" w:hAnsiTheme="minorHAnsi" w:cstheme="minorHAnsi"/>
          <w:spacing w:val="2"/>
          <w:sz w:val="20"/>
          <w:szCs w:val="20"/>
        </w:rPr>
        <w:fldChar w:fldCharType="end"/>
      </w:r>
      <w:r w:rsidRPr="00EE00BD">
        <w:rPr>
          <w:rFonts w:asciiTheme="minorHAnsi" w:hAnsiTheme="minorHAnsi" w:cstheme="minorHAnsi"/>
          <w:spacing w:val="2"/>
          <w:sz w:val="20"/>
          <w:szCs w:val="20"/>
        </w:rPr>
        <w:t>:</w:t>
      </w:r>
      <w:r w:rsidR="006B3F31" w:rsidRPr="00EE00BD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</w:p>
    <w:p w14:paraId="2740BF58" w14:textId="77777777" w:rsidR="0056185F" w:rsidRPr="00997EF3" w:rsidRDefault="0056185F" w:rsidP="008B6CEE">
      <w:pPr>
        <w:adjustRightInd w:val="0"/>
        <w:snapToGrid w:val="0"/>
        <w:ind w:left="1440" w:hanging="1440"/>
        <w:jc w:val="both"/>
        <w:rPr>
          <w:b/>
          <w:highlight w:val="green"/>
          <w:u w:val="single"/>
        </w:rPr>
      </w:pPr>
      <w:r w:rsidRPr="00997EF3">
        <w:rPr>
          <w:b/>
          <w:highlight w:val="green"/>
          <w:u w:val="single"/>
        </w:rPr>
        <w:t>Agreement:</w:t>
      </w:r>
    </w:p>
    <w:p w14:paraId="79F9525B" w14:textId="77777777" w:rsidR="0056185F" w:rsidRPr="00997EF3" w:rsidRDefault="0056185F" w:rsidP="008B6CEE">
      <w:pPr>
        <w:numPr>
          <w:ilvl w:val="0"/>
          <w:numId w:val="21"/>
        </w:numPr>
        <w:adjustRightInd w:val="0"/>
        <w:snapToGrid w:val="0"/>
        <w:spacing w:after="0"/>
        <w:jc w:val="both"/>
        <w:rPr>
          <w:rFonts w:hAnsi="Times"/>
        </w:rPr>
      </w:pPr>
      <w:r w:rsidRPr="00997EF3">
        <w:rPr>
          <w:rFonts w:hAnsi="Times" w:hint="eastAsia"/>
        </w:rPr>
        <w:t>When a TB is transmitted in two subframes, at least the following resource selection is supported</w:t>
      </w:r>
      <w:r w:rsidRPr="00997EF3">
        <w:rPr>
          <w:rFonts w:hAnsi="Times"/>
        </w:rPr>
        <w:t>:</w:t>
      </w:r>
    </w:p>
    <w:p w14:paraId="6CD96EE8" w14:textId="77777777" w:rsidR="0056185F" w:rsidRPr="00997EF3" w:rsidRDefault="0056185F" w:rsidP="008B6CEE">
      <w:pPr>
        <w:numPr>
          <w:ilvl w:val="1"/>
          <w:numId w:val="21"/>
        </w:numPr>
        <w:adjustRightInd w:val="0"/>
        <w:snapToGrid w:val="0"/>
        <w:spacing w:after="0"/>
        <w:jc w:val="both"/>
        <w:rPr>
          <w:rFonts w:hAnsi="Times"/>
        </w:rPr>
      </w:pPr>
      <w:r w:rsidRPr="00997EF3">
        <w:rPr>
          <w:rFonts w:hAnsi="Times" w:hint="eastAsia"/>
        </w:rPr>
        <w:t xml:space="preserve">One resource is selected using the mechanism defined for the case where </w:t>
      </w:r>
      <w:r w:rsidRPr="00997EF3">
        <w:rPr>
          <w:rFonts w:hAnsi="Times"/>
        </w:rPr>
        <w:t>a TB is transmitted in one subframe</w:t>
      </w:r>
      <w:r w:rsidRPr="00997EF3">
        <w:rPr>
          <w:rFonts w:hAnsi="Times" w:hint="eastAsia"/>
        </w:rPr>
        <w:t>.</w:t>
      </w:r>
    </w:p>
    <w:p w14:paraId="6C80B23D" w14:textId="77777777" w:rsidR="0056185F" w:rsidRPr="00997EF3" w:rsidRDefault="0056185F" w:rsidP="008B6CEE">
      <w:pPr>
        <w:numPr>
          <w:ilvl w:val="1"/>
          <w:numId w:val="21"/>
        </w:numPr>
        <w:adjustRightInd w:val="0"/>
        <w:snapToGrid w:val="0"/>
        <w:spacing w:after="0"/>
        <w:jc w:val="both"/>
        <w:rPr>
          <w:rFonts w:hAnsi="Times"/>
        </w:rPr>
      </w:pPr>
      <w:r w:rsidRPr="00997EF3">
        <w:rPr>
          <w:rFonts w:hAnsi="Times" w:hint="eastAsia"/>
        </w:rPr>
        <w:t>Selection of another resource is random under the condition that</w:t>
      </w:r>
    </w:p>
    <w:p w14:paraId="2042C706" w14:textId="77777777" w:rsidR="0056185F" w:rsidRPr="00997EF3" w:rsidRDefault="0056185F" w:rsidP="008B6CEE">
      <w:pPr>
        <w:numPr>
          <w:ilvl w:val="2"/>
          <w:numId w:val="21"/>
        </w:numPr>
        <w:adjustRightInd w:val="0"/>
        <w:snapToGrid w:val="0"/>
        <w:spacing w:after="0"/>
        <w:jc w:val="both"/>
        <w:rPr>
          <w:rFonts w:hAnsi="Times"/>
        </w:rPr>
      </w:pPr>
      <w:r w:rsidRPr="00997EF3">
        <w:rPr>
          <w:rFonts w:hAnsi="Times" w:hint="eastAsia"/>
        </w:rPr>
        <w:t xml:space="preserve">The selected </w:t>
      </w:r>
      <w:r w:rsidRPr="00997EF3">
        <w:rPr>
          <w:rFonts w:hAnsi="Times"/>
        </w:rPr>
        <w:t>resource</w:t>
      </w:r>
      <w:r w:rsidRPr="00997EF3">
        <w:rPr>
          <w:rFonts w:hAnsi="Times" w:hint="eastAsia"/>
        </w:rPr>
        <w:t xml:space="preserve"> shall be in the remaining subset of the outcome of step 3, and</w:t>
      </w:r>
    </w:p>
    <w:p w14:paraId="3CD9E435" w14:textId="77777777" w:rsidR="0056185F" w:rsidRPr="00997EF3" w:rsidRDefault="0056185F" w:rsidP="008B6CEE">
      <w:pPr>
        <w:numPr>
          <w:ilvl w:val="2"/>
          <w:numId w:val="21"/>
        </w:numPr>
        <w:adjustRightInd w:val="0"/>
        <w:snapToGrid w:val="0"/>
        <w:spacing w:after="0"/>
        <w:jc w:val="both"/>
        <w:rPr>
          <w:rFonts w:hAnsi="Times"/>
        </w:rPr>
      </w:pPr>
      <w:r w:rsidRPr="00997EF3">
        <w:rPr>
          <w:rFonts w:hAnsi="Times" w:hint="eastAsia"/>
        </w:rPr>
        <w:t xml:space="preserve">The selected resource shall not be in the same subframe as the first resource, and </w:t>
      </w:r>
    </w:p>
    <w:p w14:paraId="0E14937B" w14:textId="77777777" w:rsidR="0056185F" w:rsidRPr="00997EF3" w:rsidRDefault="0056185F" w:rsidP="008B6CEE">
      <w:pPr>
        <w:numPr>
          <w:ilvl w:val="2"/>
          <w:numId w:val="21"/>
        </w:numPr>
        <w:adjustRightInd w:val="0"/>
        <w:snapToGrid w:val="0"/>
        <w:spacing w:after="0"/>
        <w:jc w:val="both"/>
        <w:rPr>
          <w:rFonts w:hAnsi="Times"/>
        </w:rPr>
      </w:pPr>
      <w:r w:rsidRPr="00997EF3">
        <w:rPr>
          <w:rFonts w:hAnsi="Times" w:hint="eastAsia"/>
        </w:rPr>
        <w:t>The SCI shall be able to indicate the time gap between the two selected resources.</w:t>
      </w:r>
    </w:p>
    <w:p w14:paraId="466AA170" w14:textId="77777777" w:rsidR="0056185F" w:rsidRPr="00997EF3" w:rsidRDefault="0056185F" w:rsidP="008B6CEE">
      <w:pPr>
        <w:numPr>
          <w:ilvl w:val="1"/>
          <w:numId w:val="21"/>
        </w:numPr>
        <w:adjustRightInd w:val="0"/>
        <w:snapToGrid w:val="0"/>
        <w:spacing w:after="0"/>
        <w:jc w:val="both"/>
        <w:rPr>
          <w:rFonts w:hAnsi="Times"/>
        </w:rPr>
      </w:pPr>
      <w:r w:rsidRPr="00997EF3">
        <w:rPr>
          <w:rFonts w:hAnsi="Times" w:hint="eastAsia"/>
        </w:rPr>
        <w:t xml:space="preserve">If no resource can meet the condition for the second </w:t>
      </w:r>
      <w:r w:rsidRPr="00997EF3">
        <w:rPr>
          <w:rFonts w:hAnsi="Times"/>
        </w:rPr>
        <w:t>resource</w:t>
      </w:r>
      <w:r w:rsidRPr="00997EF3">
        <w:rPr>
          <w:rFonts w:hAnsi="Times" w:hint="eastAsia"/>
        </w:rPr>
        <w:t xml:space="preserve"> selection, a TB is transmitted only using the first </w:t>
      </w:r>
      <w:r w:rsidRPr="00997EF3">
        <w:rPr>
          <w:rFonts w:hAnsi="Times"/>
        </w:rPr>
        <w:t>resource</w:t>
      </w:r>
      <w:r w:rsidRPr="00997EF3">
        <w:rPr>
          <w:rFonts w:hAnsi="Times" w:hint="eastAsia"/>
        </w:rPr>
        <w:t>.</w:t>
      </w:r>
    </w:p>
    <w:p w14:paraId="03C011AB" w14:textId="77777777" w:rsidR="0056185F" w:rsidRPr="00997EF3" w:rsidRDefault="0056185F" w:rsidP="008B6CEE">
      <w:pPr>
        <w:adjustRightInd w:val="0"/>
        <w:snapToGrid w:val="0"/>
        <w:jc w:val="both"/>
      </w:pPr>
      <w:r w:rsidRPr="00997EF3">
        <w:t>Any other resource selection methods can be considered in the V2X work item, taking into account progress in ETSI, e.g. the following:</w:t>
      </w:r>
    </w:p>
    <w:p w14:paraId="7A7287A3" w14:textId="77777777" w:rsidR="0056185F" w:rsidRPr="00997EF3" w:rsidRDefault="0056185F" w:rsidP="008B6CEE">
      <w:pPr>
        <w:adjustRightInd w:val="0"/>
        <w:snapToGrid w:val="0"/>
        <w:ind w:left="1440" w:hanging="1440"/>
        <w:jc w:val="both"/>
      </w:pPr>
      <w:r w:rsidRPr="00997EF3">
        <w:t>-The resource allocation follows the resource allocation when a TB is transmitted in a single subframe, but the resource is defined as a set of subchannels in two consecutive subframes.</w:t>
      </w:r>
    </w:p>
    <w:p w14:paraId="16CA731A" w14:textId="77777777" w:rsidR="003D4530" w:rsidRPr="008B6CEE" w:rsidRDefault="0056185F">
      <w:pPr>
        <w:spacing w:before="240"/>
        <w:jc w:val="both"/>
        <w:rPr>
          <w:rFonts w:asciiTheme="minorHAnsi" w:hAnsiTheme="minorHAnsi" w:cstheme="minorHAnsi"/>
        </w:rPr>
      </w:pPr>
      <w:r w:rsidRPr="008B6CEE">
        <w:rPr>
          <w:rFonts w:asciiTheme="minorHAnsi" w:hAnsiTheme="minorHAnsi" w:cstheme="minorHAnsi"/>
        </w:rPr>
        <w:t>In this paper we discuss a second resource allocation mode for two transmissions of a TB that complies with the ETSI regulations.</w:t>
      </w:r>
      <w:r w:rsidR="009D019E">
        <w:rPr>
          <w:rFonts w:asciiTheme="minorHAnsi" w:hAnsiTheme="minorHAnsi" w:cstheme="minorHAnsi"/>
        </w:rPr>
        <w:t xml:space="preserve"> We discuss related issues for the PHY structure in </w:t>
      </w:r>
      <w:r w:rsidR="009D019E">
        <w:rPr>
          <w:rFonts w:asciiTheme="minorHAnsi" w:hAnsiTheme="minorHAnsi" w:cstheme="minorHAnsi"/>
        </w:rPr>
        <w:fldChar w:fldCharType="begin"/>
      </w:r>
      <w:r w:rsidR="009D019E">
        <w:rPr>
          <w:rFonts w:asciiTheme="minorHAnsi" w:hAnsiTheme="minorHAnsi" w:cstheme="minorHAnsi"/>
        </w:rPr>
        <w:instrText xml:space="preserve"> REF _Ref462142139 \r \h </w:instrText>
      </w:r>
      <w:r w:rsidR="00E37BE1">
        <w:rPr>
          <w:rFonts w:asciiTheme="minorHAnsi" w:hAnsiTheme="minorHAnsi" w:cstheme="minorHAnsi"/>
        </w:rPr>
        <w:instrText xml:space="preserve"> \* MERGEFORMAT </w:instrText>
      </w:r>
      <w:r w:rsidR="009D019E">
        <w:rPr>
          <w:rFonts w:asciiTheme="minorHAnsi" w:hAnsiTheme="minorHAnsi" w:cstheme="minorHAnsi"/>
        </w:rPr>
      </w:r>
      <w:r w:rsidR="009D019E">
        <w:rPr>
          <w:rFonts w:asciiTheme="minorHAnsi" w:hAnsiTheme="minorHAnsi" w:cstheme="minorHAnsi"/>
        </w:rPr>
        <w:fldChar w:fldCharType="separate"/>
      </w:r>
      <w:r w:rsidR="009D019E">
        <w:rPr>
          <w:rFonts w:asciiTheme="minorHAnsi" w:hAnsiTheme="minorHAnsi" w:cstheme="minorHAnsi"/>
        </w:rPr>
        <w:t>[4]</w:t>
      </w:r>
      <w:r w:rsidR="009D019E">
        <w:rPr>
          <w:rFonts w:asciiTheme="minorHAnsi" w:hAnsiTheme="minorHAnsi" w:cstheme="minorHAnsi"/>
        </w:rPr>
        <w:fldChar w:fldCharType="end"/>
      </w:r>
      <w:r w:rsidR="009D019E">
        <w:rPr>
          <w:rFonts w:asciiTheme="minorHAnsi" w:hAnsiTheme="minorHAnsi" w:cstheme="minorHAnsi"/>
        </w:rPr>
        <w:t>.</w:t>
      </w:r>
    </w:p>
    <w:p w14:paraId="6FAE5BB9" w14:textId="77777777" w:rsidR="006924FD" w:rsidRDefault="0056185F">
      <w:pPr>
        <w:pStyle w:val="Heading1"/>
      </w:pPr>
      <w:r>
        <w:t>ETSI regulation</w:t>
      </w:r>
    </w:p>
    <w:p w14:paraId="0F01B9A7" w14:textId="77777777" w:rsidR="00471197" w:rsidRPr="00EC0FA7" w:rsidRDefault="00F23E85" w:rsidP="008B6CEE">
      <w:pPr>
        <w:jc w:val="both"/>
        <w:rPr>
          <w:rFonts w:asciiTheme="minorHAnsi" w:hAnsiTheme="minorHAnsi" w:cstheme="minorHAnsi"/>
        </w:rPr>
      </w:pPr>
      <w:r w:rsidRPr="00EC0FA7">
        <w:rPr>
          <w:rFonts w:asciiTheme="minorHAnsi" w:hAnsiTheme="minorHAnsi" w:cstheme="minorHAnsi"/>
        </w:rPr>
        <w:t>The haromized European standard ETSI EN 302 571 defines some essential requirements for equipement operating in the ITS band.</w:t>
      </w:r>
      <w:r w:rsidR="00061488" w:rsidRPr="00EC0FA7">
        <w:rPr>
          <w:rFonts w:asciiTheme="minorHAnsi" w:hAnsiTheme="minorHAnsi" w:cstheme="minorHAnsi"/>
        </w:rPr>
        <w:t xml:space="preserve"> The second version of this standard is currently being drafted. The latest </w:t>
      </w:r>
      <w:r w:rsidR="00DF40B8" w:rsidRPr="00EC0FA7">
        <w:rPr>
          <w:rFonts w:asciiTheme="minorHAnsi" w:hAnsiTheme="minorHAnsi" w:cstheme="minorHAnsi"/>
        </w:rPr>
        <w:t xml:space="preserve">draft of the standard </w:t>
      </w:r>
      <w:r w:rsidR="00DF40B8" w:rsidRPr="00EC0FA7">
        <w:rPr>
          <w:rFonts w:asciiTheme="minorHAnsi" w:hAnsiTheme="minorHAnsi" w:cstheme="minorHAnsi"/>
        </w:rPr>
        <w:fldChar w:fldCharType="begin"/>
      </w:r>
      <w:r w:rsidR="00DF40B8" w:rsidRPr="00EC0FA7">
        <w:rPr>
          <w:rFonts w:asciiTheme="minorHAnsi" w:hAnsiTheme="minorHAnsi" w:cstheme="minorHAnsi"/>
        </w:rPr>
        <w:instrText xml:space="preserve"> REF _Ref462139092 \r \h </w:instrText>
      </w:r>
      <w:r w:rsidR="00DC630F" w:rsidRPr="00EC0FA7">
        <w:rPr>
          <w:rFonts w:asciiTheme="minorHAnsi" w:hAnsiTheme="minorHAnsi" w:cstheme="minorHAnsi"/>
        </w:rPr>
        <w:instrText xml:space="preserve"> \* MERGEFORMAT </w:instrText>
      </w:r>
      <w:r w:rsidR="00DF40B8" w:rsidRPr="00EC0FA7">
        <w:rPr>
          <w:rFonts w:asciiTheme="minorHAnsi" w:hAnsiTheme="minorHAnsi" w:cstheme="minorHAnsi"/>
        </w:rPr>
      </w:r>
      <w:r w:rsidR="00DF40B8" w:rsidRPr="00EC0FA7">
        <w:rPr>
          <w:rFonts w:asciiTheme="minorHAnsi" w:hAnsiTheme="minorHAnsi" w:cstheme="minorHAnsi"/>
        </w:rPr>
        <w:fldChar w:fldCharType="separate"/>
      </w:r>
      <w:r w:rsidR="00DF40B8" w:rsidRPr="00EC0FA7">
        <w:rPr>
          <w:rFonts w:asciiTheme="minorHAnsi" w:hAnsiTheme="minorHAnsi" w:cstheme="minorHAnsi"/>
        </w:rPr>
        <w:t>[2]</w:t>
      </w:r>
      <w:r w:rsidR="00DF40B8" w:rsidRPr="00EC0FA7">
        <w:rPr>
          <w:rFonts w:asciiTheme="minorHAnsi" w:hAnsiTheme="minorHAnsi" w:cstheme="minorHAnsi"/>
        </w:rPr>
        <w:fldChar w:fldCharType="end"/>
      </w:r>
      <w:r w:rsidR="00DF40B8" w:rsidRPr="00EC0FA7">
        <w:rPr>
          <w:rFonts w:asciiTheme="minorHAnsi" w:hAnsiTheme="minorHAnsi" w:cstheme="minorHAnsi"/>
        </w:rPr>
        <w:t xml:space="preserve"> along with a proposed revision </w:t>
      </w:r>
      <w:r w:rsidR="00DF40B8" w:rsidRPr="00EC0FA7">
        <w:rPr>
          <w:rFonts w:asciiTheme="minorHAnsi" w:hAnsiTheme="minorHAnsi" w:cstheme="minorHAnsi"/>
        </w:rPr>
        <w:fldChar w:fldCharType="begin"/>
      </w:r>
      <w:r w:rsidR="00DF40B8" w:rsidRPr="00EC0FA7">
        <w:rPr>
          <w:rFonts w:asciiTheme="minorHAnsi" w:hAnsiTheme="minorHAnsi" w:cstheme="minorHAnsi"/>
        </w:rPr>
        <w:instrText xml:space="preserve"> REF _Ref462139079 \r \h </w:instrText>
      </w:r>
      <w:r w:rsidR="00DC630F" w:rsidRPr="00EC0FA7">
        <w:rPr>
          <w:rFonts w:asciiTheme="minorHAnsi" w:hAnsiTheme="minorHAnsi" w:cstheme="minorHAnsi"/>
        </w:rPr>
        <w:instrText xml:space="preserve"> \* MERGEFORMAT </w:instrText>
      </w:r>
      <w:r w:rsidR="00DF40B8" w:rsidRPr="00EC0FA7">
        <w:rPr>
          <w:rFonts w:asciiTheme="minorHAnsi" w:hAnsiTheme="minorHAnsi" w:cstheme="minorHAnsi"/>
        </w:rPr>
      </w:r>
      <w:r w:rsidR="00DF40B8" w:rsidRPr="00EC0FA7">
        <w:rPr>
          <w:rFonts w:asciiTheme="minorHAnsi" w:hAnsiTheme="minorHAnsi" w:cstheme="minorHAnsi"/>
        </w:rPr>
        <w:fldChar w:fldCharType="separate"/>
      </w:r>
      <w:r w:rsidR="00DF40B8" w:rsidRPr="00EC0FA7">
        <w:rPr>
          <w:rFonts w:asciiTheme="minorHAnsi" w:hAnsiTheme="minorHAnsi" w:cstheme="minorHAnsi"/>
        </w:rPr>
        <w:t>[3]</w:t>
      </w:r>
      <w:r w:rsidR="00DF40B8" w:rsidRPr="00EC0FA7">
        <w:rPr>
          <w:rFonts w:asciiTheme="minorHAnsi" w:hAnsiTheme="minorHAnsi" w:cstheme="minorHAnsi"/>
        </w:rPr>
        <w:fldChar w:fldCharType="end"/>
      </w:r>
      <w:r w:rsidR="00DF40B8" w:rsidRPr="00EC0FA7">
        <w:rPr>
          <w:rFonts w:asciiTheme="minorHAnsi" w:hAnsiTheme="minorHAnsi" w:cstheme="minorHAnsi"/>
        </w:rPr>
        <w:t>, include the following operation limits</w:t>
      </w:r>
      <w:r w:rsidR="00ED7AE8" w:rsidRPr="00EC0FA7">
        <w:rPr>
          <w:rFonts w:asciiTheme="minorHAnsi" w:hAnsiTheme="minorHAnsi" w:cstheme="minorHAnsi"/>
        </w:rPr>
        <w:t>:</w:t>
      </w:r>
    </w:p>
    <w:tbl>
      <w:tblPr>
        <w:tblStyle w:val="TableGrid"/>
        <w:tblW w:w="658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5392"/>
      </w:tblGrid>
      <w:tr w:rsidR="00DF40B8" w:rsidRPr="00EC0FA7" w14:paraId="7326497C" w14:textId="77777777" w:rsidTr="008B6CEE">
        <w:trPr>
          <w:jc w:val="center"/>
        </w:trPr>
        <w:tc>
          <w:tcPr>
            <w:tcW w:w="1197" w:type="dxa"/>
            <w:vAlign w:val="center"/>
          </w:tcPr>
          <w:p w14:paraId="503BEF71" w14:textId="77777777" w:rsidR="00DF40B8" w:rsidRPr="00EC0FA7" w:rsidRDefault="00DF40B8" w:rsidP="008559B9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C0FA7">
              <w:rPr>
                <w:rFonts w:asciiTheme="minorHAnsi" w:hAnsiTheme="minorHAnsi" w:cstheme="minorHAnsi"/>
                <w:b/>
              </w:rPr>
              <w:t>Parameters</w:t>
            </w:r>
          </w:p>
        </w:tc>
        <w:tc>
          <w:tcPr>
            <w:tcW w:w="5392" w:type="dxa"/>
            <w:vAlign w:val="center"/>
          </w:tcPr>
          <w:p w14:paraId="265DAF99" w14:textId="77777777" w:rsidR="00DF40B8" w:rsidRPr="00EC0FA7" w:rsidRDefault="00DF40B8" w:rsidP="008559B9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C0FA7">
              <w:rPr>
                <w:rFonts w:asciiTheme="minorHAnsi" w:hAnsiTheme="minorHAnsi" w:cstheme="minorHAnsi"/>
                <w:b/>
              </w:rPr>
              <w:t>Value</w:t>
            </w:r>
          </w:p>
        </w:tc>
      </w:tr>
      <w:tr w:rsidR="00DF40B8" w:rsidRPr="00EC0FA7" w14:paraId="3A3691E3" w14:textId="77777777" w:rsidTr="008B6CEE">
        <w:trPr>
          <w:jc w:val="center"/>
        </w:trPr>
        <w:tc>
          <w:tcPr>
            <w:tcW w:w="1197" w:type="dxa"/>
            <w:vAlign w:val="center"/>
          </w:tcPr>
          <w:p w14:paraId="1EDE1023" w14:textId="77777777" w:rsidR="00DF40B8" w:rsidRPr="00EC0FA7" w:rsidRDefault="00DF40B8" w:rsidP="008559B9">
            <w:pPr>
              <w:pStyle w:val="TAC"/>
              <w:rPr>
                <w:rFonts w:asciiTheme="minorHAnsi" w:hAnsiTheme="minorHAnsi" w:cstheme="minorHAnsi"/>
                <w:i/>
                <w:sz w:val="20"/>
              </w:rPr>
            </w:pPr>
            <w:r w:rsidRPr="00EC0FA7">
              <w:rPr>
                <w:rFonts w:asciiTheme="minorHAnsi" w:hAnsiTheme="minorHAnsi" w:cstheme="minorHAnsi"/>
                <w:i/>
                <w:sz w:val="20"/>
              </w:rPr>
              <w:t>T</w:t>
            </w:r>
            <w:r w:rsidRPr="00EC0FA7">
              <w:rPr>
                <w:rFonts w:asciiTheme="minorHAnsi" w:hAnsiTheme="minorHAnsi" w:cstheme="minorHAnsi"/>
                <w:i/>
                <w:position w:val="-6"/>
                <w:sz w:val="20"/>
              </w:rPr>
              <w:t>on_max</w:t>
            </w:r>
          </w:p>
        </w:tc>
        <w:tc>
          <w:tcPr>
            <w:tcW w:w="5392" w:type="dxa"/>
            <w:vAlign w:val="center"/>
          </w:tcPr>
          <w:p w14:paraId="481DCC61" w14:textId="77777777" w:rsidR="00DF40B8" w:rsidRPr="00EC0FA7" w:rsidRDefault="00DF40B8" w:rsidP="008559B9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EC0FA7">
              <w:rPr>
                <w:rFonts w:asciiTheme="minorHAnsi" w:hAnsiTheme="minorHAnsi" w:cstheme="minorHAnsi"/>
                <w:sz w:val="20"/>
              </w:rPr>
              <w:t>4 ms</w:t>
            </w:r>
          </w:p>
        </w:tc>
      </w:tr>
      <w:tr w:rsidR="009A582C" w:rsidRPr="00EC0FA7" w14:paraId="75D3F9E2" w14:textId="77777777" w:rsidTr="008B6CEE">
        <w:trPr>
          <w:trHeight w:val="98"/>
          <w:jc w:val="center"/>
        </w:trPr>
        <w:tc>
          <w:tcPr>
            <w:tcW w:w="1197" w:type="dxa"/>
            <w:vMerge w:val="restart"/>
            <w:vAlign w:val="center"/>
          </w:tcPr>
          <w:p w14:paraId="5A87737A" w14:textId="77777777" w:rsidR="009A582C" w:rsidRPr="00EC0FA7" w:rsidRDefault="009A582C" w:rsidP="008559B9">
            <w:pPr>
              <w:pStyle w:val="TAC"/>
              <w:rPr>
                <w:rFonts w:asciiTheme="minorHAnsi" w:hAnsiTheme="minorHAnsi" w:cstheme="minorHAnsi"/>
                <w:i/>
                <w:sz w:val="20"/>
              </w:rPr>
            </w:pPr>
            <w:r w:rsidRPr="00EC0FA7">
              <w:rPr>
                <w:rFonts w:asciiTheme="minorHAnsi" w:hAnsiTheme="minorHAnsi" w:cstheme="minorHAnsi"/>
                <w:i/>
                <w:sz w:val="20"/>
              </w:rPr>
              <w:t>T</w:t>
            </w:r>
            <w:r w:rsidRPr="00EC0FA7">
              <w:rPr>
                <w:rFonts w:asciiTheme="minorHAnsi" w:hAnsiTheme="minorHAnsi" w:cstheme="minorHAnsi"/>
                <w:i/>
                <w:position w:val="-6"/>
                <w:sz w:val="20"/>
              </w:rPr>
              <w:t>off_min</w:t>
            </w:r>
          </w:p>
        </w:tc>
        <w:tc>
          <w:tcPr>
            <w:tcW w:w="5392" w:type="dxa"/>
            <w:vAlign w:val="center"/>
          </w:tcPr>
          <w:p w14:paraId="1965EA23" w14:textId="77777777" w:rsidR="009A582C" w:rsidRPr="00EC0FA7" w:rsidRDefault="009A582C" w:rsidP="008559B9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EC0FA7">
              <w:rPr>
                <w:rFonts w:asciiTheme="minorHAnsi" w:hAnsiTheme="minorHAnsi" w:cstheme="minorHAnsi"/>
                <w:sz w:val="20"/>
              </w:rPr>
              <w:t>25 ms if CBR &lt; 0.62</w:t>
            </w:r>
          </w:p>
        </w:tc>
      </w:tr>
      <w:tr w:rsidR="009A582C" w:rsidRPr="00EC0FA7" w14:paraId="4527D7B5" w14:textId="77777777" w:rsidTr="008B6CEE">
        <w:trPr>
          <w:trHeight w:val="98"/>
          <w:jc w:val="center"/>
        </w:trPr>
        <w:tc>
          <w:tcPr>
            <w:tcW w:w="1197" w:type="dxa"/>
            <w:vMerge/>
            <w:vAlign w:val="center"/>
          </w:tcPr>
          <w:p w14:paraId="602643A4" w14:textId="77777777" w:rsidR="009A582C" w:rsidRPr="00EC0FA7" w:rsidRDefault="009A582C" w:rsidP="008559B9">
            <w:pPr>
              <w:pStyle w:val="TAC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5392" w:type="dxa"/>
            <w:vAlign w:val="center"/>
          </w:tcPr>
          <w:p w14:paraId="36FDE430" w14:textId="77777777" w:rsidR="009A582C" w:rsidRPr="00EC0FA7" w:rsidRDefault="00206A82" w:rsidP="008559B9">
            <w:pPr>
              <w:pStyle w:val="TAC"/>
              <w:rPr>
                <w:rFonts w:asciiTheme="minorHAnsi" w:hAnsiTheme="minorHAnsi" w:cstheme="minorHAnsi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  <w:sz w:val="20"/>
                    </w:rPr>
                    <m:t>off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</w:rPr>
                <w:sym w:font="Symbol" w:char="F0B3"/>
              </m:r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</w:rPr>
                <m:t xml:space="preserve"> 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</w:rPr>
                    <m:t xml:space="preserve">1000, 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0"/>
                        </w:rPr>
                        <m:t xml:space="preserve">  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0"/>
                        </w:rPr>
                        <m:t>on</m:t>
                      </m:r>
                    </m:sub>
                  </m:sSub>
                  <m:r>
                    <w:rPr>
                      <w:rFonts w:ascii="Cambria Math" w:hAnsi="Cambria Math" w:cstheme="minorHAnsi"/>
                      <w:sz w:val="20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 w:val="20"/>
                        </w:rPr>
                        <m:t>4000×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  <w:sz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CBR-0.62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CBR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  <w:sz w:val="20"/>
                        </w:rPr>
                        <m:t>-1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</w:rPr>
                <m:t xml:space="preserve">  ms</m:t>
              </m:r>
            </m:oMath>
            <w:r w:rsidR="009A582C" w:rsidRPr="00EC0FA7">
              <w:rPr>
                <w:rFonts w:asciiTheme="minorHAnsi" w:hAnsiTheme="minorHAnsi" w:cstheme="minorHAnsi"/>
                <w:sz w:val="20"/>
              </w:rPr>
              <w:t xml:space="preserve"> if CBR </w:t>
            </w:r>
            <w:r w:rsidR="009A582C" w:rsidRPr="00EC0FA7">
              <w:rPr>
                <w:rFonts w:asciiTheme="minorHAnsi" w:hAnsiTheme="minorHAnsi" w:cstheme="minorHAnsi" w:hint="eastAsia"/>
                <w:sz w:val="20"/>
              </w:rPr>
              <w:t>≥</w:t>
            </w:r>
            <w:r w:rsidR="009A582C" w:rsidRPr="00EC0FA7">
              <w:rPr>
                <w:rFonts w:asciiTheme="minorHAnsi" w:hAnsiTheme="minorHAnsi" w:cstheme="minorHAnsi"/>
                <w:sz w:val="20"/>
              </w:rPr>
              <w:t xml:space="preserve"> 0.62</w:t>
            </w:r>
          </w:p>
        </w:tc>
      </w:tr>
      <w:tr w:rsidR="00DF40B8" w:rsidRPr="00EC0FA7" w14:paraId="64CD6B81" w14:textId="77777777" w:rsidTr="008B6CEE">
        <w:trPr>
          <w:jc w:val="center"/>
        </w:trPr>
        <w:tc>
          <w:tcPr>
            <w:tcW w:w="1197" w:type="dxa"/>
            <w:vAlign w:val="center"/>
          </w:tcPr>
          <w:p w14:paraId="248B2587" w14:textId="77777777" w:rsidR="00DF40B8" w:rsidRPr="00EC0FA7" w:rsidRDefault="00DF40B8" w:rsidP="008559B9">
            <w:pPr>
              <w:pStyle w:val="TAC"/>
              <w:rPr>
                <w:rFonts w:asciiTheme="minorHAnsi" w:hAnsiTheme="minorHAnsi" w:cstheme="minorHAnsi"/>
                <w:i/>
                <w:sz w:val="20"/>
              </w:rPr>
            </w:pPr>
            <w:r w:rsidRPr="00EC0FA7">
              <w:rPr>
                <w:rFonts w:asciiTheme="minorHAnsi" w:hAnsiTheme="minorHAnsi" w:cstheme="minorHAnsi"/>
                <w:i/>
                <w:sz w:val="20"/>
              </w:rPr>
              <w:t>duty cycle</w:t>
            </w:r>
          </w:p>
        </w:tc>
        <w:tc>
          <w:tcPr>
            <w:tcW w:w="5392" w:type="dxa"/>
            <w:vAlign w:val="center"/>
          </w:tcPr>
          <w:p w14:paraId="092B7FAB" w14:textId="77777777" w:rsidR="00DF40B8" w:rsidRPr="00EC0FA7" w:rsidRDefault="00DF40B8" w:rsidP="008559B9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EC0FA7">
              <w:rPr>
                <w:rFonts w:asciiTheme="minorHAnsi" w:hAnsiTheme="minorHAnsi" w:cstheme="minorHAnsi"/>
                <w:sz w:val="20"/>
              </w:rPr>
              <w:t>3 %</w:t>
            </w:r>
          </w:p>
        </w:tc>
      </w:tr>
    </w:tbl>
    <w:p w14:paraId="37A23065" w14:textId="77777777" w:rsidR="00E37BE1" w:rsidRDefault="00ED7AE8" w:rsidP="008B6CEE">
      <w:pPr>
        <w:spacing w:before="240"/>
        <w:jc w:val="both"/>
        <w:rPr>
          <w:rFonts w:asciiTheme="minorHAnsi" w:hAnsiTheme="minorHAnsi" w:cstheme="minorHAnsi"/>
        </w:rPr>
      </w:pPr>
      <w:r w:rsidRPr="00EC0FA7">
        <w:rPr>
          <w:rFonts w:asciiTheme="minorHAnsi" w:hAnsiTheme="minorHAnsi" w:cstheme="minorHAnsi"/>
        </w:rPr>
        <w:t>T</w:t>
      </w:r>
      <w:r w:rsidRPr="00EC0FA7">
        <w:rPr>
          <w:rFonts w:asciiTheme="minorHAnsi" w:hAnsiTheme="minorHAnsi" w:cstheme="minorHAnsi"/>
          <w:vertAlign w:val="subscript"/>
        </w:rPr>
        <w:t>on_max</w:t>
      </w:r>
      <w:r w:rsidRPr="00EC0FA7">
        <w:rPr>
          <w:rFonts w:asciiTheme="minorHAnsi" w:hAnsiTheme="minorHAnsi" w:cstheme="minorHAnsi"/>
        </w:rPr>
        <w:t xml:space="preserve"> is the limit for the maximum duration of each continuous transmission, whereas T</w:t>
      </w:r>
      <w:r w:rsidRPr="00EC0FA7">
        <w:rPr>
          <w:rFonts w:asciiTheme="minorHAnsi" w:hAnsiTheme="minorHAnsi" w:cstheme="minorHAnsi"/>
          <w:vertAlign w:val="subscript"/>
        </w:rPr>
        <w:t>off_min</w:t>
      </w:r>
      <w:r w:rsidRPr="00EC0FA7">
        <w:rPr>
          <w:rFonts w:asciiTheme="minorHAnsi" w:hAnsiTheme="minorHAnsi" w:cstheme="minorHAnsi"/>
        </w:rPr>
        <w:t xml:space="preserve"> limits the minimum time between two consecutive transmissions. Consequently, for congested scenarios (CBR ≥ 0.62) a UE may have to space two consecutive transmissions by T</w:t>
      </w:r>
      <w:r w:rsidRPr="00EC0FA7">
        <w:rPr>
          <w:rFonts w:asciiTheme="minorHAnsi" w:hAnsiTheme="minorHAnsi" w:cstheme="minorHAnsi"/>
          <w:vertAlign w:val="subscript"/>
        </w:rPr>
        <w:t>off_min</w:t>
      </w:r>
      <w:r w:rsidRPr="00EC0FA7">
        <w:rPr>
          <w:rFonts w:asciiTheme="minorHAnsi" w:hAnsiTheme="minorHAnsi" w:cstheme="minorHAnsi"/>
        </w:rPr>
        <w:t>&gt;100 ms</w:t>
      </w:r>
      <w:r w:rsidR="00E37BE1" w:rsidRPr="00EC0FA7">
        <w:rPr>
          <w:rFonts w:asciiTheme="minorHAnsi" w:hAnsiTheme="minorHAnsi" w:cstheme="minorHAnsi"/>
        </w:rPr>
        <w:t>, unless they take place on adjacent TTIs</w:t>
      </w:r>
      <w:r w:rsidRPr="00EC0FA7">
        <w:rPr>
          <w:rFonts w:asciiTheme="minorHAnsi" w:hAnsiTheme="minorHAnsi" w:cstheme="minorHAnsi"/>
        </w:rPr>
        <w:t>. This is regardless of whether the consecutive transmissions</w:t>
      </w:r>
      <w:r>
        <w:rPr>
          <w:rFonts w:asciiTheme="minorHAnsi" w:hAnsiTheme="minorHAnsi" w:cstheme="minorHAnsi"/>
        </w:rPr>
        <w:t xml:space="preserve"> correspond to the same or different TBs. </w:t>
      </w:r>
      <w:r w:rsidR="00E37BE1">
        <w:rPr>
          <w:rFonts w:asciiTheme="minorHAnsi" w:hAnsiTheme="minorHAnsi" w:cstheme="minorHAnsi"/>
        </w:rPr>
        <w:t xml:space="preserve">Consecutive transmissions in adjacent TTIs are allowed a long as they do not exceed the </w:t>
      </w:r>
      <w:r w:rsidR="00E37BE1" w:rsidRPr="0089687C">
        <w:rPr>
          <w:rFonts w:asciiTheme="minorHAnsi" w:hAnsiTheme="minorHAnsi" w:cstheme="minorHAnsi"/>
        </w:rPr>
        <w:t>T</w:t>
      </w:r>
      <w:r w:rsidR="00E37BE1" w:rsidRPr="0089687C">
        <w:rPr>
          <w:rFonts w:asciiTheme="minorHAnsi" w:hAnsiTheme="minorHAnsi" w:cstheme="minorHAnsi"/>
          <w:vertAlign w:val="subscript"/>
        </w:rPr>
        <w:t>on_max</w:t>
      </w:r>
      <w:r w:rsidR="00E37BE1">
        <w:rPr>
          <w:rFonts w:asciiTheme="minorHAnsi" w:hAnsiTheme="minorHAnsi" w:cstheme="minorHAnsi"/>
        </w:rPr>
        <w:t xml:space="preserve"> limit. This can be used to support multiple retransmissions of a TB.</w:t>
      </w:r>
    </w:p>
    <w:p w14:paraId="6427682F" w14:textId="77777777" w:rsidR="00DF40B8" w:rsidRDefault="00D030E9" w:rsidP="008B6CEE">
      <w:pPr>
        <w:spacing w:before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resource (re)selection mechanism agreed so far does not provide a way of ensuring that transmissions corresponding to the same TB are performed in adjacent TTIs. We propose a simple modification of the resource (re)selection algorithm to allow for this.</w:t>
      </w:r>
      <w:r w:rsidR="00ED7AE8" w:rsidRPr="008B6CEE">
        <w:rPr>
          <w:rFonts w:asciiTheme="minorHAnsi" w:hAnsiTheme="minorHAnsi" w:cstheme="minorHAnsi"/>
        </w:rPr>
        <w:t xml:space="preserve"> </w:t>
      </w:r>
    </w:p>
    <w:p w14:paraId="56D4B694" w14:textId="77777777" w:rsidR="006A16F5" w:rsidRPr="006A16F5" w:rsidRDefault="006A16F5" w:rsidP="008B6CEE">
      <w:pPr>
        <w:spacing w:before="240"/>
        <w:rPr>
          <w:rFonts w:asciiTheme="minorHAnsi" w:hAnsiTheme="minorHAnsi" w:cstheme="minorHAnsi"/>
          <w:b/>
          <w:i/>
        </w:rPr>
      </w:pPr>
      <w:r w:rsidRPr="008559B9">
        <w:rPr>
          <w:rFonts w:asciiTheme="minorHAnsi" w:hAnsiTheme="minorHAnsi" w:cstheme="minorHAnsi"/>
          <w:b/>
          <w:i/>
        </w:rPr>
        <w:t>Observation:</w:t>
      </w:r>
    </w:p>
    <w:p w14:paraId="396D2DFF" w14:textId="77777777" w:rsidR="006A16F5" w:rsidRPr="008559B9" w:rsidRDefault="006A16F5" w:rsidP="008559B9">
      <w:pPr>
        <w:pStyle w:val="ListParagraph"/>
        <w:numPr>
          <w:ilvl w:val="0"/>
          <w:numId w:val="9"/>
        </w:numPr>
        <w:spacing w:before="240"/>
        <w:rPr>
          <w:rFonts w:asciiTheme="minorHAnsi" w:hAnsiTheme="minorHAnsi" w:cstheme="minorHAnsi"/>
          <w:b/>
          <w:i/>
          <w:sz w:val="20"/>
          <w:szCs w:val="20"/>
        </w:rPr>
      </w:pPr>
      <w:r w:rsidRPr="0089687C">
        <w:rPr>
          <w:rFonts w:asciiTheme="minorHAnsi" w:hAnsiTheme="minorHAnsi" w:cstheme="minorHAnsi"/>
          <w:b/>
          <w:i/>
          <w:sz w:val="20"/>
          <w:szCs w:val="20"/>
        </w:rPr>
        <w:t>The current resource (re)selection algorithm cannot perform multiple transmissions of TB with the existing ETSI regulations</w:t>
      </w:r>
      <w:r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2C8A6E7F" w14:textId="77777777" w:rsidR="0056185F" w:rsidRPr="0056185F" w:rsidRDefault="0056185F">
      <w:pPr>
        <w:pStyle w:val="Heading1"/>
      </w:pPr>
      <w:r>
        <w:lastRenderedPageBreak/>
        <w:t>Autonomous resource allocation</w:t>
      </w:r>
    </w:p>
    <w:p w14:paraId="55BDD654" w14:textId="0E69DF30" w:rsidR="003203B2" w:rsidRDefault="003203B2">
      <w:p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 ensure that LTE-V2V can efficiently use multiple transmissions of a TB while meeting the ETSI regulations regarding channel access, we believe that it is necessary to introduce a new way of performing resource selection.</w:t>
      </w:r>
      <w:r w:rsidR="00654B3C">
        <w:rPr>
          <w:rFonts w:asciiTheme="minorHAnsi" w:hAnsiTheme="minorHAnsi" w:cstheme="minorHAnsi"/>
        </w:rPr>
        <w:t xml:space="preserve"> </w:t>
      </w:r>
      <w:r w:rsidR="007B20C3">
        <w:rPr>
          <w:rFonts w:asciiTheme="minorHAnsi" w:hAnsiTheme="minorHAnsi" w:cstheme="minorHAnsi"/>
        </w:rPr>
        <w:t xml:space="preserve">This </w:t>
      </w:r>
      <w:r w:rsidR="00654B3C">
        <w:rPr>
          <w:rFonts w:asciiTheme="minorHAnsi" w:hAnsiTheme="minorHAnsi" w:cstheme="minorHAnsi"/>
        </w:rPr>
        <w:t xml:space="preserve">new </w:t>
      </w:r>
      <w:r w:rsidR="007B20C3">
        <w:rPr>
          <w:rFonts w:asciiTheme="minorHAnsi" w:hAnsiTheme="minorHAnsi" w:cstheme="minorHAnsi"/>
        </w:rPr>
        <w:t>way of performing resource allocation follows the principles agreed by R</w:t>
      </w:r>
      <w:r>
        <w:rPr>
          <w:rFonts w:asciiTheme="minorHAnsi" w:hAnsiTheme="minorHAnsi" w:cstheme="minorHAnsi"/>
        </w:rPr>
        <w:t xml:space="preserve">AN1 in previous meetings. </w:t>
      </w:r>
      <w:r w:rsidR="007B20C3">
        <w:rPr>
          <w:rFonts w:asciiTheme="minorHAnsi" w:hAnsiTheme="minorHAnsi" w:cstheme="minorHAnsi"/>
        </w:rPr>
        <w:t>In the same way that</w:t>
      </w:r>
      <w:r w:rsidR="009871D2">
        <w:rPr>
          <w:rFonts w:asciiTheme="minorHAnsi" w:hAnsiTheme="minorHAnsi" w:cstheme="minorHAnsi"/>
        </w:rPr>
        <w:t>, in the context of sesing and (re)selection,</w:t>
      </w:r>
      <w:r w:rsidR="007B20C3">
        <w:rPr>
          <w:rFonts w:asciiTheme="minorHAnsi" w:hAnsiTheme="minorHAnsi" w:cstheme="minorHAnsi"/>
        </w:rPr>
        <w:t xml:space="preserve"> the term </w:t>
      </w:r>
      <w:r w:rsidR="007B20C3">
        <w:rPr>
          <w:rFonts w:asciiTheme="minorHAnsi" w:hAnsiTheme="minorHAnsi" w:cstheme="minorHAnsi"/>
          <w:i/>
        </w:rPr>
        <w:t>resource</w:t>
      </w:r>
      <w:r w:rsidR="007B20C3">
        <w:rPr>
          <w:rFonts w:asciiTheme="minorHAnsi" w:hAnsiTheme="minorHAnsi" w:cstheme="minorHAnsi"/>
        </w:rPr>
        <w:t xml:space="preserve"> is used to denote a collection of adjacent subchannels</w:t>
      </w:r>
      <w:r w:rsidR="009871D2">
        <w:rPr>
          <w:rFonts w:asciiTheme="minorHAnsi" w:hAnsiTheme="minorHAnsi" w:cstheme="minorHAnsi"/>
        </w:rPr>
        <w:t xml:space="preserve"> (in the same TTI), we propose that the UE operates using a more general definition of resource spanning 2 consecutive TTIs in time and a </w:t>
      </w:r>
      <w:r>
        <w:rPr>
          <w:rFonts w:asciiTheme="minorHAnsi" w:hAnsiTheme="minorHAnsi" w:cstheme="minorHAnsi"/>
        </w:rPr>
        <w:t>certain number of subchannels in frequency.</w:t>
      </w:r>
      <w:r w:rsidR="009871D2">
        <w:rPr>
          <w:rFonts w:asciiTheme="minorHAnsi" w:hAnsiTheme="minorHAnsi" w:cstheme="minorHAnsi"/>
        </w:rPr>
        <w:t xml:space="preserve"> We illustrate the difference in </w:t>
      </w:r>
      <w:r w:rsidR="009871D2">
        <w:rPr>
          <w:rFonts w:asciiTheme="minorHAnsi" w:hAnsiTheme="minorHAnsi" w:cstheme="minorHAnsi"/>
        </w:rPr>
        <w:fldChar w:fldCharType="begin"/>
      </w:r>
      <w:r w:rsidR="009871D2">
        <w:rPr>
          <w:rFonts w:asciiTheme="minorHAnsi" w:hAnsiTheme="minorHAnsi" w:cstheme="minorHAnsi"/>
        </w:rPr>
        <w:instrText xml:space="preserve"> REF _Ref462141911 \h </w:instrText>
      </w:r>
      <w:r w:rsidR="009871D2">
        <w:rPr>
          <w:rFonts w:asciiTheme="minorHAnsi" w:hAnsiTheme="minorHAnsi" w:cstheme="minorHAnsi"/>
        </w:rPr>
      </w:r>
      <w:r w:rsidR="009871D2">
        <w:rPr>
          <w:rFonts w:asciiTheme="minorHAnsi" w:hAnsiTheme="minorHAnsi" w:cstheme="minorHAnsi"/>
        </w:rPr>
        <w:fldChar w:fldCharType="separate"/>
      </w:r>
      <w:r w:rsidR="009871D2">
        <w:t xml:space="preserve">Figure </w:t>
      </w:r>
      <w:r w:rsidR="009871D2">
        <w:rPr>
          <w:noProof/>
        </w:rPr>
        <w:t>1</w:t>
      </w:r>
      <w:r w:rsidR="009871D2">
        <w:rPr>
          <w:rFonts w:asciiTheme="minorHAnsi" w:hAnsiTheme="minorHAnsi" w:cstheme="minorHAnsi"/>
        </w:rPr>
        <w:fldChar w:fldCharType="end"/>
      </w:r>
      <w:r w:rsidR="00E20C40">
        <w:rPr>
          <w:rFonts w:asciiTheme="minorHAnsi" w:hAnsiTheme="minorHAnsi" w:cstheme="minorHAnsi"/>
        </w:rPr>
        <w:t>.</w:t>
      </w:r>
    </w:p>
    <w:p w14:paraId="6ED42656" w14:textId="77777777" w:rsidR="00F23E85" w:rsidRDefault="00F23E85" w:rsidP="008B6CEE">
      <w:pPr>
        <w:keepNext/>
        <w:spacing w:before="240"/>
        <w:jc w:val="center"/>
      </w:pPr>
      <w:r>
        <w:rPr>
          <w:rFonts w:asciiTheme="minorHAnsi" w:hAnsiTheme="minorHAnsi" w:cstheme="minorHAnsi"/>
          <w:noProof/>
          <w:lang w:val="en-US"/>
        </w:rPr>
        <w:drawing>
          <wp:inline distT="0" distB="0" distL="0" distR="0" wp14:anchorId="321076F1" wp14:editId="3CAFC176">
            <wp:extent cx="6480000" cy="174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174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CF9891" w14:textId="77777777" w:rsidR="003203B2" w:rsidRPr="00EE00BD" w:rsidRDefault="00F23E85" w:rsidP="008B6CEE">
      <w:pPr>
        <w:pStyle w:val="Caption"/>
        <w:jc w:val="center"/>
        <w:rPr>
          <w:rFonts w:asciiTheme="minorHAnsi" w:hAnsiTheme="minorHAnsi" w:cstheme="minorHAnsi"/>
        </w:rPr>
      </w:pPr>
      <w:bookmarkStart w:id="4" w:name="_Ref4621419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0C40">
        <w:rPr>
          <w:noProof/>
        </w:rPr>
        <w:t>1</w:t>
      </w:r>
      <w:r>
        <w:fldChar w:fldCharType="end"/>
      </w:r>
      <w:bookmarkEnd w:id="4"/>
      <w:r>
        <w:t xml:space="preserve">. </w:t>
      </w:r>
      <w:r w:rsidR="00E20C40">
        <w:t>Definition of resource spanning a single TTI (left) and two TTIs, right.</w:t>
      </w:r>
    </w:p>
    <w:p w14:paraId="461CDF19" w14:textId="77777777" w:rsidR="00DE39D8" w:rsidRDefault="009D019E" w:rsidP="00EE00B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 believe that the UEs should continue perform </w:t>
      </w:r>
      <w:r w:rsidRPr="00DB7F7A">
        <w:rPr>
          <w:rFonts w:asciiTheme="minorHAnsi" w:hAnsiTheme="minorHAnsi" w:cstheme="minorHAnsi"/>
        </w:rPr>
        <w:t xml:space="preserve">sensing on </w:t>
      </w:r>
      <w:r>
        <w:rPr>
          <w:rFonts w:asciiTheme="minorHAnsi" w:hAnsiTheme="minorHAnsi" w:cstheme="minorHAnsi"/>
        </w:rPr>
        <w:t xml:space="preserve">resources of size 1 TTI x 1 subchannel. However, whenever the UE is interested in obtaining an allocation for 2 consecutive transmissions, it processes resources in groups of 2 TTIs. For this purpose, an aggregated metric for resource units of 2 TTI x 1 subchannel is defined by taking the maximum of the </w:t>
      </w:r>
      <w:r w:rsidR="009E3438">
        <w:rPr>
          <w:rFonts w:asciiTheme="minorHAnsi" w:hAnsiTheme="minorHAnsi" w:cstheme="minorHAnsi"/>
        </w:rPr>
        <w:t xml:space="preserve">individual metrics for the subchannel in each </w:t>
      </w:r>
      <w:r>
        <w:rPr>
          <w:rFonts w:asciiTheme="minorHAnsi" w:hAnsiTheme="minorHAnsi" w:cstheme="minorHAnsi"/>
        </w:rPr>
        <w:t>of the two TTIs.</w:t>
      </w:r>
      <w:r w:rsidR="009E3438">
        <w:rPr>
          <w:rFonts w:asciiTheme="minorHAnsi" w:hAnsiTheme="minorHAnsi" w:cstheme="minorHAnsi"/>
        </w:rPr>
        <w:t xml:space="preserve"> </w:t>
      </w:r>
    </w:p>
    <w:p w14:paraId="5CA7958D" w14:textId="77777777" w:rsidR="009D019E" w:rsidRDefault="00DE39D8" w:rsidP="00EE00B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Clearly, this type of scheduling introduces a constraint. To ensure maximum flexibility, we believe that the groups of 2 TTIs should allow for overlapping. For example, a frequency channel may be considered for TTIs 1 and 2, for TTIs 2 and 3, for TTIs 3 and 4, etc. We illustrate this in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_Ref462151059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>.</w:t>
      </w:r>
      <w:r w:rsidR="007D36AF">
        <w:rPr>
          <w:rFonts w:asciiTheme="minorHAnsi" w:hAnsiTheme="minorHAnsi" w:cstheme="minorHAnsi"/>
        </w:rPr>
        <w:t xml:space="preserve"> Note that this overlapping does not result in any additional complexity for the UE since the total number of resources is the same as when using a single-TTI resource definition.</w:t>
      </w:r>
    </w:p>
    <w:p w14:paraId="24212967" w14:textId="77777777" w:rsidR="00E65125" w:rsidRDefault="00E65125" w:rsidP="00EE00BD">
      <w:pPr>
        <w:jc w:val="both"/>
        <w:rPr>
          <w:rFonts w:asciiTheme="minorHAnsi" w:hAnsiTheme="minorHAnsi" w:cstheme="minorHAnsi"/>
        </w:rPr>
      </w:pPr>
    </w:p>
    <w:p w14:paraId="273E0C77" w14:textId="77777777" w:rsidR="00E20C40" w:rsidRDefault="009871D2" w:rsidP="008B6CEE">
      <w:pPr>
        <w:keepNext/>
        <w:jc w:val="center"/>
      </w:pPr>
      <w:r>
        <w:rPr>
          <w:rFonts w:asciiTheme="minorHAnsi" w:hAnsiTheme="minorHAnsi" w:cstheme="minorHAnsi"/>
          <w:noProof/>
          <w:lang w:val="en-US"/>
        </w:rPr>
        <w:drawing>
          <wp:inline distT="0" distB="0" distL="0" distR="0" wp14:anchorId="3D9D9167" wp14:editId="60DFE579">
            <wp:extent cx="2937600" cy="194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600" cy="194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7105FA" w14:textId="77777777" w:rsidR="009871D2" w:rsidRPr="008B6CEE" w:rsidRDefault="00E20C40" w:rsidP="008B6CEE">
      <w:pPr>
        <w:pStyle w:val="Caption"/>
        <w:jc w:val="center"/>
        <w:rPr>
          <w:rFonts w:asciiTheme="minorHAnsi" w:hAnsiTheme="minorHAnsi" w:cstheme="minorHAnsi"/>
          <w:b w:val="0"/>
        </w:rPr>
      </w:pPr>
      <w:bookmarkStart w:id="5" w:name="_Ref4621510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 w:rsidR="00DE39D8">
        <w:t>. Different resources spanning 2 TTIs are defined in an overlapping manner (blue and red boxes)</w:t>
      </w:r>
    </w:p>
    <w:p w14:paraId="14FF0C02" w14:textId="77777777" w:rsidR="00DE39D8" w:rsidRDefault="00DE39D8" w:rsidP="00DE39D8">
      <w:pPr>
        <w:jc w:val="both"/>
        <w:rPr>
          <w:rFonts w:asciiTheme="minorHAnsi" w:hAnsiTheme="minorHAnsi" w:cstheme="minorHAnsi"/>
        </w:rPr>
      </w:pPr>
    </w:p>
    <w:p w14:paraId="177C6772" w14:textId="77777777" w:rsidR="00DE39D8" w:rsidRPr="00DB7F7A" w:rsidRDefault="00DE39D8" w:rsidP="00DE39D8">
      <w:pPr>
        <w:jc w:val="both"/>
        <w:rPr>
          <w:rFonts w:asciiTheme="minorHAnsi" w:hAnsiTheme="minorHAnsi" w:cstheme="minorHAnsi"/>
        </w:rPr>
      </w:pPr>
      <w:r w:rsidRPr="00DB7F7A">
        <w:rPr>
          <w:rFonts w:asciiTheme="minorHAnsi" w:hAnsiTheme="minorHAnsi" w:cstheme="minorHAnsi"/>
        </w:rPr>
        <w:t>We propose the following simple extension of the current operation procedures to support this case:</w:t>
      </w:r>
    </w:p>
    <w:p w14:paraId="1A99352B" w14:textId="77777777" w:rsidR="00DE39D8" w:rsidRDefault="00DE39D8" w:rsidP="00DE39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B7F7A">
        <w:rPr>
          <w:rFonts w:asciiTheme="minorHAnsi" w:hAnsiTheme="minorHAnsi" w:cstheme="minorHAnsi"/>
          <w:sz w:val="20"/>
          <w:szCs w:val="20"/>
        </w:rPr>
        <w:t xml:space="preserve">The UE performs sensing on </w:t>
      </w:r>
      <w:r>
        <w:rPr>
          <w:rFonts w:asciiTheme="minorHAnsi" w:hAnsiTheme="minorHAnsi" w:cstheme="minorHAnsi"/>
          <w:sz w:val="20"/>
          <w:szCs w:val="20"/>
        </w:rPr>
        <w:t>resources of size 1 TTI x 1 subchannel. An aggregated metric of 2 TTI x 1 subchannel is defined by taking the maximum of the metrics of the two TTIs.</w:t>
      </w:r>
    </w:p>
    <w:p w14:paraId="0299614E" w14:textId="77777777" w:rsidR="00DE39D8" w:rsidRPr="00DB7F7A" w:rsidRDefault="004C4E1F" w:rsidP="00DE39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Steps 2 and 3 in the resource (re)selection process are performed in terms 2 TTI x N subchannels, where N is the desired allocation.</w:t>
      </w:r>
    </w:p>
    <w:p w14:paraId="5136A708" w14:textId="77777777" w:rsidR="00DE39D8" w:rsidRDefault="00DE39D8" w:rsidP="00EE00BD">
      <w:pPr>
        <w:jc w:val="both"/>
        <w:rPr>
          <w:rFonts w:asciiTheme="minorHAnsi" w:hAnsiTheme="minorHAnsi" w:cstheme="minorHAnsi"/>
          <w:b/>
          <w:i/>
        </w:rPr>
      </w:pPr>
    </w:p>
    <w:p w14:paraId="38B2B281" w14:textId="77777777" w:rsidR="00064649" w:rsidRPr="00E65125" w:rsidRDefault="00064649" w:rsidP="00EE00BD">
      <w:pPr>
        <w:jc w:val="both"/>
        <w:rPr>
          <w:rFonts w:asciiTheme="minorHAnsi" w:hAnsiTheme="minorHAnsi" w:cstheme="minorHAnsi"/>
          <w:b/>
          <w:i/>
        </w:rPr>
      </w:pPr>
      <w:r w:rsidRPr="00E65125">
        <w:rPr>
          <w:rFonts w:asciiTheme="minorHAnsi" w:hAnsiTheme="minorHAnsi" w:cstheme="minorHAnsi"/>
          <w:b/>
          <w:i/>
        </w:rPr>
        <w:t>Proposals:</w:t>
      </w:r>
    </w:p>
    <w:p w14:paraId="3A76CC1D" w14:textId="77777777" w:rsidR="00D67A80" w:rsidRDefault="008E5D60" w:rsidP="008B6CE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Proposal 1: </w:t>
      </w:r>
      <w:r w:rsidR="00471197">
        <w:rPr>
          <w:rFonts w:asciiTheme="minorHAnsi" w:hAnsiTheme="minorHAnsi" w:cstheme="minorHAnsi"/>
          <w:b/>
          <w:i/>
          <w:sz w:val="20"/>
          <w:szCs w:val="20"/>
        </w:rPr>
        <w:t xml:space="preserve"> Autonomous resource allocation for consecutive transmissions of a TB is supported.</w:t>
      </w:r>
    </w:p>
    <w:p w14:paraId="7A8158C9" w14:textId="77777777" w:rsidR="00CA738D" w:rsidRDefault="00CA738D">
      <w:pPr>
        <w:pStyle w:val="ListParagraph"/>
        <w:numPr>
          <w:ilvl w:val="1"/>
          <w:numId w:val="9"/>
        </w:num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lastRenderedPageBreak/>
        <w:t>The sensing</w:t>
      </w:r>
      <w:r w:rsidRPr="00CA738D">
        <w:rPr>
          <w:rFonts w:asciiTheme="minorHAnsi" w:hAnsiTheme="minorHAnsi" w:cstheme="minorHAnsi"/>
          <w:b/>
          <w:i/>
          <w:sz w:val="20"/>
          <w:szCs w:val="20"/>
        </w:rPr>
        <w:t xml:space="preserve"> metric for resource units of 2 TTI x 1 subchannel is the maximum of the individual metrics for the subchannel in each of the two TTIs</w:t>
      </w:r>
      <w:r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4F381892" w14:textId="77777777" w:rsidR="004C4E1F" w:rsidRDefault="004C4E1F">
      <w:pPr>
        <w:pStyle w:val="ListParagraph"/>
        <w:numPr>
          <w:ilvl w:val="1"/>
          <w:numId w:val="9"/>
        </w:num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Resource (re)selection operates on resources of size 2 TTI x N subchannels, where N is the desired allocation.</w:t>
      </w:r>
    </w:p>
    <w:p w14:paraId="36137520" w14:textId="77777777" w:rsidR="00CA738D" w:rsidRPr="00EE00BD" w:rsidRDefault="00124DA3">
      <w:pPr>
        <w:pStyle w:val="ListParagraph"/>
        <w:numPr>
          <w:ilvl w:val="1"/>
          <w:numId w:val="9"/>
        </w:num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Overlapping 2-TTI resources are used.</w:t>
      </w:r>
    </w:p>
    <w:p w14:paraId="23812F88" w14:textId="77777777" w:rsidR="00064649" w:rsidRPr="001C75E2" w:rsidRDefault="00064649" w:rsidP="00064649"/>
    <w:p w14:paraId="2E094541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34B2A814" w14:textId="491078C2" w:rsidR="00974BAB" w:rsidRDefault="00974BAB" w:rsidP="004C38AA">
      <w:pPr>
        <w:jc w:val="both"/>
      </w:pPr>
      <w:r w:rsidRPr="008A4ECF">
        <w:t xml:space="preserve">In this paper we have </w:t>
      </w:r>
      <w:r w:rsidR="005B4DE9">
        <w:t xml:space="preserve">observed and </w:t>
      </w:r>
      <w:r w:rsidRPr="008A4ECF">
        <w:t>proposed the following</w:t>
      </w:r>
    </w:p>
    <w:p w14:paraId="2A9F03F4" w14:textId="77777777" w:rsidR="005B4DE9" w:rsidRPr="006A16F5" w:rsidRDefault="005B4DE9" w:rsidP="005B4DE9">
      <w:pPr>
        <w:spacing w:before="240"/>
        <w:rPr>
          <w:rFonts w:asciiTheme="minorHAnsi" w:hAnsiTheme="minorHAnsi" w:cstheme="minorHAnsi"/>
          <w:b/>
          <w:i/>
        </w:rPr>
      </w:pPr>
      <w:r w:rsidRPr="008559B9">
        <w:rPr>
          <w:rFonts w:asciiTheme="minorHAnsi" w:hAnsiTheme="minorHAnsi" w:cstheme="minorHAnsi"/>
          <w:b/>
          <w:i/>
        </w:rPr>
        <w:t>Observation:</w:t>
      </w:r>
    </w:p>
    <w:p w14:paraId="31676815" w14:textId="77777777" w:rsidR="005B4DE9" w:rsidRPr="008559B9" w:rsidRDefault="005B4DE9" w:rsidP="00F01DB0">
      <w:pPr>
        <w:pStyle w:val="ListParagraph"/>
        <w:numPr>
          <w:ilvl w:val="0"/>
          <w:numId w:val="9"/>
        </w:numPr>
        <w:spacing w:before="240" w:after="240"/>
        <w:rPr>
          <w:rFonts w:asciiTheme="minorHAnsi" w:hAnsiTheme="minorHAnsi" w:cstheme="minorHAnsi"/>
          <w:b/>
          <w:i/>
          <w:sz w:val="20"/>
          <w:szCs w:val="20"/>
        </w:rPr>
      </w:pPr>
      <w:r w:rsidRPr="0089687C">
        <w:rPr>
          <w:rFonts w:asciiTheme="minorHAnsi" w:hAnsiTheme="minorHAnsi" w:cstheme="minorHAnsi"/>
          <w:b/>
          <w:i/>
          <w:sz w:val="20"/>
          <w:szCs w:val="20"/>
        </w:rPr>
        <w:t>The current resource (re)selection algorithm cannot perform multiple transmissions of TB with the existing ETSI regula</w:t>
      </w:r>
      <w:bookmarkStart w:id="6" w:name="_GoBack"/>
      <w:bookmarkEnd w:id="6"/>
      <w:r w:rsidRPr="0089687C">
        <w:rPr>
          <w:rFonts w:asciiTheme="minorHAnsi" w:hAnsiTheme="minorHAnsi" w:cstheme="minorHAnsi"/>
          <w:b/>
          <w:i/>
          <w:sz w:val="20"/>
          <w:szCs w:val="20"/>
        </w:rPr>
        <w:t>tions</w:t>
      </w:r>
      <w:r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65618AAC" w14:textId="77777777" w:rsidR="005B4DE9" w:rsidRPr="00E65125" w:rsidRDefault="005B4DE9" w:rsidP="005B4DE9">
      <w:pPr>
        <w:jc w:val="both"/>
        <w:rPr>
          <w:rFonts w:asciiTheme="minorHAnsi" w:hAnsiTheme="minorHAnsi" w:cstheme="minorHAnsi"/>
          <w:b/>
          <w:i/>
        </w:rPr>
      </w:pPr>
      <w:r w:rsidRPr="00E65125">
        <w:rPr>
          <w:rFonts w:asciiTheme="minorHAnsi" w:hAnsiTheme="minorHAnsi" w:cstheme="minorHAnsi"/>
          <w:b/>
          <w:i/>
        </w:rPr>
        <w:t>Proposals:</w:t>
      </w:r>
    </w:p>
    <w:p w14:paraId="6A11E6F6" w14:textId="77777777" w:rsidR="005B4DE9" w:rsidRDefault="005B4DE9" w:rsidP="005B4DE9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Proposal 1:  Autonomous resource allocation for consecutive transmissions of a TB is supported.</w:t>
      </w:r>
    </w:p>
    <w:p w14:paraId="4BD65C95" w14:textId="77777777" w:rsidR="005B4DE9" w:rsidRDefault="005B4DE9" w:rsidP="005B4DE9">
      <w:pPr>
        <w:pStyle w:val="ListParagraph"/>
        <w:numPr>
          <w:ilvl w:val="1"/>
          <w:numId w:val="9"/>
        </w:num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The sensing</w:t>
      </w:r>
      <w:r w:rsidRPr="00CA738D">
        <w:rPr>
          <w:rFonts w:asciiTheme="minorHAnsi" w:hAnsiTheme="minorHAnsi" w:cstheme="minorHAnsi"/>
          <w:b/>
          <w:i/>
          <w:sz w:val="20"/>
          <w:szCs w:val="20"/>
        </w:rPr>
        <w:t xml:space="preserve"> metric for resource units of 2 TTI x 1 subchannel is the maximum of the individual metrics for the subchannel in each of the two TTIs</w:t>
      </w:r>
      <w:r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79AAAB93" w14:textId="77777777" w:rsidR="005B4DE9" w:rsidRDefault="005B4DE9" w:rsidP="005B4DE9">
      <w:pPr>
        <w:pStyle w:val="ListParagraph"/>
        <w:numPr>
          <w:ilvl w:val="1"/>
          <w:numId w:val="9"/>
        </w:num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Resource (re)selection operates on resources of size 2 TTI x N subchannels, where N is the desired allocation.</w:t>
      </w:r>
    </w:p>
    <w:p w14:paraId="23851260" w14:textId="77777777" w:rsidR="005B4DE9" w:rsidRPr="00EE00BD" w:rsidRDefault="005B4DE9" w:rsidP="005B4DE9">
      <w:pPr>
        <w:pStyle w:val="ListParagraph"/>
        <w:numPr>
          <w:ilvl w:val="1"/>
          <w:numId w:val="9"/>
        </w:num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Overlapping 2-TTI resources are used.</w:t>
      </w:r>
    </w:p>
    <w:p w14:paraId="286394DB" w14:textId="77777777" w:rsidR="009A1074" w:rsidRPr="00DA1475" w:rsidRDefault="00C02A80" w:rsidP="00856691">
      <w:pPr>
        <w:pStyle w:val="Heading1"/>
      </w:pPr>
      <w:r w:rsidRPr="00DA1475">
        <w:t>References</w:t>
      </w:r>
    </w:p>
    <w:p w14:paraId="0F524C8F" w14:textId="77777777" w:rsidR="00FE6265" w:rsidRPr="008B6CEE" w:rsidRDefault="00BB5340" w:rsidP="008A2505">
      <w:pPr>
        <w:numPr>
          <w:ilvl w:val="0"/>
          <w:numId w:val="7"/>
        </w:numPr>
        <w:ind w:hanging="720"/>
      </w:pPr>
      <w:bookmarkStart w:id="7" w:name="_Ref458436874"/>
      <w:bookmarkStart w:id="8" w:name="_Ref442446938"/>
      <w:r w:rsidRPr="004F5430">
        <w:rPr>
          <w:color w:val="312E25"/>
          <w:lang w:eastAsia="sv-SE"/>
        </w:rPr>
        <w:t>RAN1#</w:t>
      </w:r>
      <w:r w:rsidR="00EE00BD" w:rsidRPr="004F5430">
        <w:rPr>
          <w:color w:val="312E25"/>
          <w:lang w:eastAsia="sv-SE"/>
        </w:rPr>
        <w:t>8</w:t>
      </w:r>
      <w:r w:rsidR="00EE00BD">
        <w:rPr>
          <w:color w:val="312E25"/>
          <w:lang w:eastAsia="sv-SE"/>
        </w:rPr>
        <w:t>6</w:t>
      </w:r>
      <w:r w:rsidRPr="004F5430">
        <w:rPr>
          <w:color w:val="312E25"/>
          <w:lang w:eastAsia="sv-SE"/>
        </w:rPr>
        <w:t>, Chairman’s notes</w:t>
      </w:r>
      <w:bookmarkEnd w:id="7"/>
    </w:p>
    <w:p w14:paraId="634FC9DC" w14:textId="77777777" w:rsidR="00061488" w:rsidRPr="005B4DE9" w:rsidRDefault="00061488" w:rsidP="008B6CEE">
      <w:pPr>
        <w:numPr>
          <w:ilvl w:val="0"/>
          <w:numId w:val="7"/>
        </w:numPr>
        <w:ind w:hanging="720"/>
      </w:pPr>
      <w:bookmarkStart w:id="9" w:name="_Ref462139092"/>
      <w:r w:rsidRPr="005B4DE9">
        <w:t>Draft ETSI EN 302 571 V2.0.0 (2016-03), Radiocommunications equipment operating in the 5 855 MHz to 5 925 MHz frequency band; Harmonised Standard covering the essential requirements of article 3.2 of Directive 2014/53/EU</w:t>
      </w:r>
      <w:bookmarkEnd w:id="9"/>
    </w:p>
    <w:p w14:paraId="06FFFACE" w14:textId="77777777" w:rsidR="00061488" w:rsidRPr="005B4DE9" w:rsidRDefault="00061488" w:rsidP="00EC0FA7">
      <w:pPr>
        <w:numPr>
          <w:ilvl w:val="0"/>
          <w:numId w:val="7"/>
        </w:numPr>
        <w:ind w:hanging="720"/>
      </w:pPr>
      <w:bookmarkStart w:id="10" w:name="_Ref462139079"/>
      <w:r w:rsidRPr="005B4DE9">
        <w:t xml:space="preserve">Revision proposal of Clause 4.2.10 of Draft ETSI EN 302 571 V2.0.0 (2016-03), URL: </w:t>
      </w:r>
      <w:r w:rsidR="00EC0FA7" w:rsidRPr="005B4DE9">
        <w:br/>
        <w:t>https://docbox.etsi.org/ERM/ERMTG37/05-CONTRIBUTIONS/2016//ERMTG37(16)000039r2_Revised_Clause_4_2_10_with_track_changes.docx</w:t>
      </w:r>
      <w:r w:rsidR="00EC0FA7" w:rsidRPr="005B4DE9">
        <w:br/>
      </w:r>
      <w:r w:rsidRPr="005B4DE9">
        <w:t>(last accessed on 20 Sept. 2016)</w:t>
      </w:r>
      <w:bookmarkEnd w:id="10"/>
      <w:r w:rsidR="009D019E" w:rsidRPr="005B4DE9">
        <w:t>.</w:t>
      </w:r>
    </w:p>
    <w:p w14:paraId="25456A4F" w14:textId="0CE9F26E" w:rsidR="009D019E" w:rsidRPr="005B4DE9" w:rsidRDefault="005B4DE9" w:rsidP="005B4DE9">
      <w:pPr>
        <w:numPr>
          <w:ilvl w:val="0"/>
          <w:numId w:val="7"/>
        </w:numPr>
        <w:ind w:hanging="720"/>
      </w:pPr>
      <w:r w:rsidRPr="005B4DE9">
        <w:t>R1-1609699, “Outstanding Physical Layer Structure Details and Receiver Behavior for Sidelink V2V”, Ericsson</w:t>
      </w:r>
    </w:p>
    <w:bookmarkEnd w:id="8"/>
    <w:p w14:paraId="730C1863" w14:textId="77777777" w:rsidR="008266A1" w:rsidRPr="00EC0FA7" w:rsidRDefault="008266A1" w:rsidP="008266A1"/>
    <w:sectPr w:rsidR="008266A1" w:rsidRPr="00EC0FA7" w:rsidSect="004B3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6B65B" w14:textId="77777777" w:rsidR="00206A82" w:rsidRDefault="00206A82">
      <w:r>
        <w:separator/>
      </w:r>
    </w:p>
  </w:endnote>
  <w:endnote w:type="continuationSeparator" w:id="0">
    <w:p w14:paraId="75B023A2" w14:textId="77777777" w:rsidR="00206A82" w:rsidRDefault="0020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EF0B3" w14:textId="77777777" w:rsidR="008559B9" w:rsidRDefault="008559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7902D" w14:textId="77777777" w:rsidR="008559B9" w:rsidRDefault="008559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12EF8" w14:textId="77777777" w:rsidR="008559B9" w:rsidRDefault="00855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1FCD7" w14:textId="77777777" w:rsidR="00206A82" w:rsidRDefault="00206A82">
      <w:r>
        <w:separator/>
      </w:r>
    </w:p>
  </w:footnote>
  <w:footnote w:type="continuationSeparator" w:id="0">
    <w:p w14:paraId="3252CFCA" w14:textId="77777777" w:rsidR="00206A82" w:rsidRDefault="0020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BDFC9" w14:textId="77777777" w:rsidR="008559B9" w:rsidRDefault="008559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9B148" w14:textId="77777777" w:rsidR="008559B9" w:rsidRDefault="008559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ADA2C" w14:textId="77777777" w:rsidR="008559B9" w:rsidRDefault="00855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40D0F"/>
    <w:multiLevelType w:val="multilevel"/>
    <w:tmpl w:val="40BCC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B068B"/>
    <w:multiLevelType w:val="hybridMultilevel"/>
    <w:tmpl w:val="55A28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80124"/>
    <w:multiLevelType w:val="hybridMultilevel"/>
    <w:tmpl w:val="D76619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5F463A7C"/>
    <w:multiLevelType w:val="hybridMultilevel"/>
    <w:tmpl w:val="BEB48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62B2E"/>
    <w:multiLevelType w:val="hybridMultilevel"/>
    <w:tmpl w:val="09405E6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D2B57"/>
    <w:multiLevelType w:val="hybridMultilevel"/>
    <w:tmpl w:val="C526C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5"/>
  </w:num>
  <w:num w:numId="5">
    <w:abstractNumId w:val="6"/>
  </w:num>
  <w:num w:numId="6">
    <w:abstractNumId w:val="15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14"/>
  </w:num>
  <w:num w:numId="12">
    <w:abstractNumId w:val="3"/>
  </w:num>
  <w:num w:numId="13">
    <w:abstractNumId w:val="4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488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49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3B9"/>
    <w:rsid w:val="000D1988"/>
    <w:rsid w:val="000D220A"/>
    <w:rsid w:val="000D28F6"/>
    <w:rsid w:val="000D297C"/>
    <w:rsid w:val="000D2B76"/>
    <w:rsid w:val="000D2B98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2ADC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4DA3"/>
    <w:rsid w:val="00125859"/>
    <w:rsid w:val="001260CD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C75E2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A82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A9E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3B2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3BE"/>
    <w:rsid w:val="003634B4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1EEC"/>
    <w:rsid w:val="003B251C"/>
    <w:rsid w:val="003B26F1"/>
    <w:rsid w:val="003B2F5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26D"/>
    <w:rsid w:val="00467643"/>
    <w:rsid w:val="00467CA6"/>
    <w:rsid w:val="00467E3A"/>
    <w:rsid w:val="00467F9F"/>
    <w:rsid w:val="00467FEA"/>
    <w:rsid w:val="00470BA8"/>
    <w:rsid w:val="00471197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4E1F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11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282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85F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B4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4DE9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B3C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7C3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6F5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0C3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8C1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4B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6AF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0AE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6A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9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505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6CEE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674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2E7"/>
    <w:rsid w:val="008D26C7"/>
    <w:rsid w:val="008D2729"/>
    <w:rsid w:val="008D3962"/>
    <w:rsid w:val="008D3EF4"/>
    <w:rsid w:val="008D3F68"/>
    <w:rsid w:val="008D41A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5D60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68C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1D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82C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19E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438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93E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34"/>
    <w:rsid w:val="009F3D52"/>
    <w:rsid w:val="009F44C0"/>
    <w:rsid w:val="009F45ED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09A9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18B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96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6DEB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6BE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63D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FD6"/>
    <w:rsid w:val="00C21109"/>
    <w:rsid w:val="00C21143"/>
    <w:rsid w:val="00C215AF"/>
    <w:rsid w:val="00C21727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6B9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38D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0E9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A62"/>
    <w:rsid w:val="00D31CD5"/>
    <w:rsid w:val="00D325D3"/>
    <w:rsid w:val="00D326FC"/>
    <w:rsid w:val="00D3275C"/>
    <w:rsid w:val="00D32A01"/>
    <w:rsid w:val="00D331C6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A80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30F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39D8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0B8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0C40"/>
    <w:rsid w:val="00E21AA7"/>
    <w:rsid w:val="00E21E78"/>
    <w:rsid w:val="00E22F30"/>
    <w:rsid w:val="00E23631"/>
    <w:rsid w:val="00E239AE"/>
    <w:rsid w:val="00E23AAC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0CA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BE1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125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0FA7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AE8"/>
    <w:rsid w:val="00ED7B9F"/>
    <w:rsid w:val="00ED7DA3"/>
    <w:rsid w:val="00ED7F33"/>
    <w:rsid w:val="00EE00B0"/>
    <w:rsid w:val="00EE00BD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1DB0"/>
    <w:rsid w:val="00F02069"/>
    <w:rsid w:val="00F02451"/>
    <w:rsid w:val="00F024B7"/>
    <w:rsid w:val="00F0255F"/>
    <w:rsid w:val="00F02608"/>
    <w:rsid w:val="00F02B26"/>
    <w:rsid w:val="00F02F0D"/>
    <w:rsid w:val="00F03010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1D99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3E85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0F2FC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5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  <w:style w:type="character" w:customStyle="1" w:styleId="TACTegn">
    <w:name w:val="TAC Tegn"/>
    <w:basedOn w:val="DefaultParagraphFont"/>
    <w:rsid w:val="00DF40B8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478B4-6C17-41F7-84F8-042F16ED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2016-09-08T11:52:00Z</dcterms:created>
  <dcterms:modified xsi:type="dcterms:W3CDTF">2016-09-30T12:25:00Z</dcterms:modified>
</cp:coreProperties>
</file>